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B7" w:rsidRPr="00640F33" w:rsidRDefault="00E269B7">
      <w:pPr>
        <w:rPr>
          <w:cs/>
        </w:rPr>
      </w:pPr>
      <w:r w:rsidRPr="00640F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-257810</wp:posOffset>
            </wp:positionV>
            <wp:extent cx="1047115" cy="1104900"/>
            <wp:effectExtent l="19050" t="0" r="63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269B7" w:rsidRPr="00640F33" w:rsidRDefault="00E269B7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EA8" w:rsidRDefault="00955C3A" w:rsidP="00E74549">
            <w:pPr>
              <w:spacing w:after="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 ประกวดราคาจ้าง</w:t>
            </w:r>
            <w:r w:rsidR="00E74549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โครงการก่อสร้า</w:t>
            </w:r>
            <w:r w:rsidR="00E74549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งถนนคอนกรีตเสริมเหล็กสายคลองเหียน  </w:t>
            </w:r>
          </w:p>
          <w:p w:rsidR="003E0FC4" w:rsidRPr="00A963FD" w:rsidRDefault="00E74549" w:rsidP="00E74549">
            <w:pPr>
              <w:spacing w:after="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หมู่ที่  5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ไสข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รบ 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ปัน  กว้าง  5 เมตร  ยาว 754  เมตร  หนา 0.15 เมตร</w:t>
            </w:r>
          </w:p>
          <w:p w:rsidR="00955C3A" w:rsidRPr="00640F33" w:rsidRDefault="00955C3A" w:rsidP="00CF0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อิเล็กทรอนิกส์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FC5" w:rsidRDefault="00955C3A" w:rsidP="00584BA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E269B7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          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มีความประสงค์จะประกวดราคาจ้าง</w:t>
            </w:r>
            <w:r w:rsidR="00A963F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</w:t>
            </w:r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ถนนคอนกรีตเสริมเหล็กสายคลองเหียน  หมู่ที่ 5  บ้าน</w:t>
            </w:r>
            <w:proofErr w:type="spellStart"/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รบ </w:t>
            </w:r>
            <w:proofErr w:type="spellStart"/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 กว้าง  5 เมตร  ยาว 754 เมตร  หนา 0.15 เมตร    </w:t>
            </w:r>
            <w:r w:rsidR="005338F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269B7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  <w:p w:rsidR="00F0300B" w:rsidRPr="00640F33" w:rsidRDefault="00E269B7" w:rsidP="007066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833FC5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br/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</w:t>
            </w:r>
            <w:r w:rsidR="005338F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14576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ดำเนินการก่อสร้าง</w:t>
            </w:r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ถนนคอนกรีตเสริมเหล็กสายคลองเหียน  หมู่ที่ 5 บ้าน</w:t>
            </w:r>
            <w:proofErr w:type="spellStart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รบ  </w:t>
            </w:r>
            <w:proofErr w:type="spellStart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ปัน  </w:t>
            </w:r>
            <w:r w:rsidR="007066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กว้าง 5 เมตร ยาว 754 เมตร  หนา 0.15 เมตร  ไหล่ทางหินผุข้างละ 0.50 เมตร </w:t>
            </w:r>
            <w:r w:rsidR="007066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พร้อมป้ายประชาสัมพันธ์โครงการ  จำนวน </w:t>
            </w:r>
            <w:r w:rsidR="007066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</w:t>
            </w:r>
            <w:r w:rsidR="007066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ชุด  รายละเอียดตามแบบแปลนองค์การบริหารส่วน</w:t>
            </w:r>
            <w:proofErr w:type="spellStart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ปัน</w:t>
            </w:r>
            <w:r w:rsidR="00F540A1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64B1E" w:rsidRPr="00640F33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กำหนด</w:t>
            </w:r>
            <w:r w:rsidR="00C64B1E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97FAA" w:rsidRPr="00640F3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(ระยะเวลาด</w:t>
            </w:r>
            <w:r w:rsidR="003A5EAD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ำเนินการ </w:t>
            </w:r>
            <w:r w:rsidR="00C14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90</w:t>
            </w:r>
            <w:r w:rsidR="00F97FAA" w:rsidRPr="00640F3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วัน) </w:t>
            </w:r>
            <w:r w:rsidR="00B473BE" w:rsidRPr="00640F3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E269B7" w:rsidRPr="00640F33" w:rsidRDefault="00E269B7" w:rsidP="00E269B7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955C3A" w:rsidRPr="00640F33" w:rsidRDefault="00AE26C1" w:rsidP="007066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  <w:cs/>
              </w:rPr>
            </w:pPr>
            <w:r w:rsidRPr="002C38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ราคากลาง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  </w:t>
            </w:r>
            <w:r w:rsidR="007066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2,106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,000.00 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บาท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 (</w:t>
            </w:r>
            <w:r w:rsidR="007066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สองล้านหนึ่งแสนหกพัน</w:t>
            </w:r>
            <w:r w:rsidR="00C1457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บาทถ้วน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)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br/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E269B7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t>         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955C3A" w:rsidRPr="00640F33" w:rsidTr="00E6224F">
        <w:trPr>
          <w:trHeight w:val="1272"/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B5C" w:rsidRDefault="00955C3A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</w:t>
            </w:r>
            <w:r w:rsidR="00E269B7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ผู้มีอาชีพรับจ้างงานที่ประกวดราคาจ้างด้วย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อิเล็กทรอนิกส์ดังกล่าว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812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,000.00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</w:t>
            </w:r>
            <w:r w:rsidR="00BC77DE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BC77DE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 w:rsidR="00271B5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วันที่ประกาศประกวดราคาด้วย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อิเล็กทรอนิกส์ครั้งนี้</w:t>
            </w:r>
            <w:r w:rsidR="00271B5C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271B5C" w:rsidRPr="00640F33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ต้องลงทะเบียนในระบบอิเล็กทรอนิกส์ของกรมบัญชีกลาง 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Pr="00564B53" w:rsidRDefault="00564B53" w:rsidP="00564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Pr="00640F3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DB0F0F" w:rsidRDefault="00DB0F0F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73E2F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-2-</w:t>
            </w:r>
          </w:p>
          <w:p w:rsidR="00564B53" w:rsidRPr="00564B53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73E2F" w:rsidRPr="00640F33" w:rsidRDefault="00F73E2F" w:rsidP="00F73E2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กำหนดดูสถานที่ในวันที่ 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9  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เมษายน  2557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ระหว่างเวลา 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09.00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ถึง 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10.00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ณ หมู่ที่  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 บ้านควนนกหว้า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ปัน อำเภอพระแสง จังหวัดสุราษฎร์ธานี  และกำหนดรับฟังค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ำชี้แจงรายละเอียดเพิ่มในวันที่ 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  เมษายน  2557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เวลา  1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 น. เป็นต้นไป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73E2F" w:rsidRPr="0044131F" w:rsidRDefault="00F73E2F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9FD" w:rsidRDefault="00955C3A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lastRenderedPageBreak/>
              <w:t>          </w:t>
            </w:r>
            <w:r w:rsidR="00E6224F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A48D3" w:rsidRDefault="00B3094C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22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เมษายน  2557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ศูนย์รวมข้อมูลข่าวสารจัดซื้อจัดจ้างขององค์การบริหารส่วนตำบลระดับอำเภอ สำนักงานท้องถิ่นอำเภอพระแสง ชั้น 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และกำหนดเสนอราคาใน</w:t>
            </w:r>
            <w:r w:rsidR="0044131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55C3A" w:rsidRPr="00640F33" w:rsidRDefault="0044131F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30  เมษายน  2557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10.30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820B2" w:rsidRPr="00640F33" w:rsidRDefault="00D820B2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2F" w:rsidRPr="00640F33" w:rsidRDefault="00955C3A" w:rsidP="00D820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ผู้สนใจติดต่อขอซื้อเอกสารประกวดราคาจ้างก่อสร้างด้วย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ในราคาชุดละ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955C3A" w:rsidRDefault="00B3094C" w:rsidP="008572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="00F27601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สี่พันบาทถ้วน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D7FD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31  มีนาคม  2557 </w:t>
            </w:r>
            <w:r w:rsidR="002B39E1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  <w:r w:rsidR="001C054D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  เมษายน  2557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08.30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และสอบถามรายละเอียดเพิ่มเติมได้ที่องค์การบริหารส่วน</w:t>
            </w:r>
            <w:proofErr w:type="spellStart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หมายเลขโทรศัพท์  077-369130  ในวันและเวลาราชการหรือ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D820B2" w:rsidRPr="00640F33">
                <w:rPr>
                  <w:rStyle w:val="a4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</w:t>
              </w:r>
            </w:hyperlink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</w:p>
          <w:p w:rsidR="006814C4" w:rsidRPr="00640F33" w:rsidRDefault="006814C4" w:rsidP="00B309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B65DCC">
            <w:pPr>
              <w:spacing w:before="100" w:beforeAutospacing="1" w:after="100" w:afterAutospacing="1" w:line="240" w:lineRule="auto"/>
              <w:ind w:left="2785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ประกาศ ณ </w:t>
            </w:r>
            <w:r w:rsidR="00B65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B65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ธันวาคม</w:t>
            </w:r>
            <w:r w:rsidR="004413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</w:t>
            </w:r>
            <w:r w:rsidR="00B309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955C3A" w:rsidRPr="00640F3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5C3A" w:rsidRPr="00640F33" w:rsidRDefault="00955C3A" w:rsidP="00955C3A">
                  <w:pPr>
                    <w:spacing w:after="32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W w:w="5250" w:type="dxa"/>
                    <w:tblCellSpacing w:w="0" w:type="dxa"/>
                    <w:tblInd w:w="316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</w:tblGrid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60446" w:rsidRDefault="00955C3A" w:rsidP="0096044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="00960446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นางสาวสมกมล   ศรี</w:t>
                        </w:r>
                        <w:proofErr w:type="spellStart"/>
                        <w:r w:rsidR="00960446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สมโภชน์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  <w:p w:rsidR="00955C3A" w:rsidRPr="00640F33" w:rsidRDefault="00960446" w:rsidP="0096044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ปลัดองค์การบริหารส่วนตำบล  ปฏิบัติหน้าที่</w:t>
                        </w:r>
                        <w:r w:rsidR="00955C3A"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</w:t>
                        </w:r>
                        <w:proofErr w:type="spellStart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ตำบลอิ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ปัน</w:t>
                        </w: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955C3A" w:rsidRPr="00640F33" w:rsidRDefault="00955C3A" w:rsidP="00955C3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0F3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</w:t>
                  </w:r>
                </w:p>
              </w:tc>
            </w:tr>
          </w:tbl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</w:tbl>
    <w:p w:rsidR="00955C3A" w:rsidRPr="00640F33" w:rsidRDefault="00955C3A" w:rsidP="00955C3A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955C3A" w:rsidRPr="00640F33" w:rsidRDefault="00BC3167" w:rsidP="00955C3A">
      <w:pPr>
        <w:spacing w:after="0" w:line="240" w:lineRule="auto"/>
        <w:rPr>
          <w:rFonts w:ascii="TH SarabunPSK" w:eastAsia="Times New Roman" w:hAnsi="TH SarabunPSK" w:cs="TH SarabunPSK"/>
          <w:sz w:val="19"/>
          <w:szCs w:val="19"/>
        </w:rPr>
      </w:pP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955C3A" w:rsidRPr="00640F33" w:rsidRDefault="00955C3A" w:rsidP="00955C3A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15669" w:rsidRPr="00640F33" w:rsidRDefault="00A15669">
      <w:pPr>
        <w:rPr>
          <w:rFonts w:ascii="TH SarabunPSK" w:hAnsi="TH SarabunPSK" w:cs="TH SarabunPSK"/>
        </w:rPr>
      </w:pPr>
    </w:p>
    <w:sectPr w:rsidR="00A15669" w:rsidRPr="00640F33" w:rsidSect="00E6224F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53" w:rsidRDefault="00564B53" w:rsidP="00564B53">
      <w:pPr>
        <w:spacing w:after="0" w:line="240" w:lineRule="auto"/>
      </w:pPr>
      <w:r>
        <w:separator/>
      </w:r>
    </w:p>
  </w:endnote>
  <w:end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53" w:rsidRDefault="00564B53" w:rsidP="00564B53">
      <w:pPr>
        <w:spacing w:after="0" w:line="240" w:lineRule="auto"/>
      </w:pPr>
      <w:r>
        <w:separator/>
      </w:r>
    </w:p>
  </w:footnote>
  <w:foot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55C3A"/>
    <w:rsid w:val="00004DB0"/>
    <w:rsid w:val="000817EA"/>
    <w:rsid w:val="000C7055"/>
    <w:rsid w:val="001369BB"/>
    <w:rsid w:val="001B31A5"/>
    <w:rsid w:val="001B4BEC"/>
    <w:rsid w:val="001C054D"/>
    <w:rsid w:val="001D47F2"/>
    <w:rsid w:val="001E7634"/>
    <w:rsid w:val="002558AB"/>
    <w:rsid w:val="00261349"/>
    <w:rsid w:val="00271B5C"/>
    <w:rsid w:val="00286EA8"/>
    <w:rsid w:val="00293EDC"/>
    <w:rsid w:val="002B39E1"/>
    <w:rsid w:val="003A562A"/>
    <w:rsid w:val="003A5EAD"/>
    <w:rsid w:val="003B0CAE"/>
    <w:rsid w:val="003C01E0"/>
    <w:rsid w:val="003C4177"/>
    <w:rsid w:val="003D545F"/>
    <w:rsid w:val="003E0FC4"/>
    <w:rsid w:val="00406667"/>
    <w:rsid w:val="00415FD9"/>
    <w:rsid w:val="0044131F"/>
    <w:rsid w:val="00481475"/>
    <w:rsid w:val="005338FC"/>
    <w:rsid w:val="0054132F"/>
    <w:rsid w:val="00564B53"/>
    <w:rsid w:val="005719A5"/>
    <w:rsid w:val="005776F1"/>
    <w:rsid w:val="00584BAC"/>
    <w:rsid w:val="00640F33"/>
    <w:rsid w:val="006814C4"/>
    <w:rsid w:val="00684847"/>
    <w:rsid w:val="0070660A"/>
    <w:rsid w:val="00722BA2"/>
    <w:rsid w:val="00725890"/>
    <w:rsid w:val="00756D45"/>
    <w:rsid w:val="007B5440"/>
    <w:rsid w:val="007C7CE7"/>
    <w:rsid w:val="007D7618"/>
    <w:rsid w:val="00833FC5"/>
    <w:rsid w:val="008504B4"/>
    <w:rsid w:val="0085728B"/>
    <w:rsid w:val="008D4F6E"/>
    <w:rsid w:val="00947D4F"/>
    <w:rsid w:val="00955C3A"/>
    <w:rsid w:val="00960446"/>
    <w:rsid w:val="00A15669"/>
    <w:rsid w:val="00A963FD"/>
    <w:rsid w:val="00AD7FD5"/>
    <w:rsid w:val="00AE26C1"/>
    <w:rsid w:val="00B3094C"/>
    <w:rsid w:val="00B321D8"/>
    <w:rsid w:val="00B473BE"/>
    <w:rsid w:val="00B65DCC"/>
    <w:rsid w:val="00B87122"/>
    <w:rsid w:val="00BC0BC0"/>
    <w:rsid w:val="00BC3167"/>
    <w:rsid w:val="00BC77DE"/>
    <w:rsid w:val="00BC7C4A"/>
    <w:rsid w:val="00C01C02"/>
    <w:rsid w:val="00C14576"/>
    <w:rsid w:val="00C3295E"/>
    <w:rsid w:val="00C45EE1"/>
    <w:rsid w:val="00C64B1E"/>
    <w:rsid w:val="00C97E08"/>
    <w:rsid w:val="00CA48D3"/>
    <w:rsid w:val="00CF05BC"/>
    <w:rsid w:val="00D42558"/>
    <w:rsid w:val="00D61AD6"/>
    <w:rsid w:val="00D64502"/>
    <w:rsid w:val="00D820B2"/>
    <w:rsid w:val="00DB0F0F"/>
    <w:rsid w:val="00DB3E0F"/>
    <w:rsid w:val="00E269B7"/>
    <w:rsid w:val="00E3130F"/>
    <w:rsid w:val="00E6224F"/>
    <w:rsid w:val="00E74549"/>
    <w:rsid w:val="00E942CF"/>
    <w:rsid w:val="00EF630A"/>
    <w:rsid w:val="00F0300B"/>
    <w:rsid w:val="00F25EE6"/>
    <w:rsid w:val="00F27601"/>
    <w:rsid w:val="00F27778"/>
    <w:rsid w:val="00F540A1"/>
    <w:rsid w:val="00F61E2C"/>
    <w:rsid w:val="00F662B2"/>
    <w:rsid w:val="00F73E2F"/>
    <w:rsid w:val="00F84D2F"/>
    <w:rsid w:val="00F97FAA"/>
    <w:rsid w:val="00FD29FD"/>
    <w:rsid w:val="00FE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69"/>
  </w:style>
  <w:style w:type="paragraph" w:styleId="9">
    <w:name w:val="heading 9"/>
    <w:basedOn w:val="a"/>
    <w:next w:val="a"/>
    <w:link w:val="90"/>
    <w:qFormat/>
    <w:rsid w:val="00A963FD"/>
    <w:pPr>
      <w:keepNext/>
      <w:spacing w:after="0" w:line="240" w:lineRule="auto"/>
      <w:ind w:left="567" w:hanging="567"/>
      <w:outlineLvl w:val="8"/>
    </w:pPr>
    <w:rPr>
      <w:rFonts w:ascii="Angsana New" w:eastAsia="Cordia New" w:hAnsi="Angsana New" w:cs="Angsana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C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55C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C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C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character" w:styleId="a4">
    <w:name w:val="Hyperlink"/>
    <w:basedOn w:val="a0"/>
    <w:uiPriority w:val="99"/>
    <w:unhideWhenUsed/>
    <w:rsid w:val="00D61A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64B53"/>
  </w:style>
  <w:style w:type="paragraph" w:styleId="a7">
    <w:name w:val="footer"/>
    <w:basedOn w:val="a"/>
    <w:link w:val="a8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64B53"/>
  </w:style>
  <w:style w:type="character" w:customStyle="1" w:styleId="90">
    <w:name w:val="หัวเรื่อง 9 อักขระ"/>
    <w:basedOn w:val="a0"/>
    <w:link w:val="9"/>
    <w:rsid w:val="00A963FD"/>
    <w:rPr>
      <w:rFonts w:ascii="Angsana New" w:eastAsia="Cordia New" w:hAnsi="Angsana New" w:cs="Angsana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Windows User</cp:lastModifiedBy>
  <cp:revision>66</cp:revision>
  <cp:lastPrinted>2014-03-28T05:57:00Z</cp:lastPrinted>
  <dcterms:created xsi:type="dcterms:W3CDTF">2002-01-03T23:14:00Z</dcterms:created>
  <dcterms:modified xsi:type="dcterms:W3CDTF">2014-12-24T03:40:00Z</dcterms:modified>
</cp:coreProperties>
</file>